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D389" w14:textId="77777777" w:rsidR="00CC4C6B" w:rsidRPr="00CC4C6B" w:rsidRDefault="00CC4C6B" w:rsidP="00CC4C6B">
      <w:pPr>
        <w:rPr>
          <w:color w:val="538135" w:themeColor="accent6" w:themeShade="BF"/>
        </w:rPr>
      </w:pPr>
      <w:r w:rsidRPr="00CC4C6B">
        <w:rPr>
          <w:color w:val="538135" w:themeColor="accent6" w:themeShade="BF"/>
        </w:rPr>
        <w:t>___________________________________________________________________________</w:t>
      </w:r>
    </w:p>
    <w:p w14:paraId="24D6F61C" w14:textId="77777777" w:rsidR="00CC4C6B" w:rsidRDefault="00CC4C6B" w:rsidP="00CC4C6B">
      <w:pPr>
        <w:pStyle w:val="Heading1"/>
        <w:rPr>
          <w:color w:val="538135" w:themeColor="accent6" w:themeShade="BF"/>
        </w:rPr>
      </w:pPr>
    </w:p>
    <w:p w14:paraId="3B17C36E" w14:textId="30A1A459" w:rsidR="00CC4C6B" w:rsidRPr="00CC4C6B" w:rsidRDefault="00CC4C6B" w:rsidP="00CC4C6B">
      <w:pPr>
        <w:pStyle w:val="Heading1"/>
        <w:rPr>
          <w:color w:val="538135" w:themeColor="accent6" w:themeShade="BF"/>
        </w:rPr>
      </w:pPr>
      <w:r w:rsidRPr="00CC4C6B">
        <w:rPr>
          <w:color w:val="538135" w:themeColor="accent6" w:themeShade="BF"/>
        </w:rPr>
        <w:t xml:space="preserve">A partner’s guide to framing ThinkAutomation: </w:t>
      </w:r>
      <w:r w:rsidR="00010B85">
        <w:rPr>
          <w:color w:val="538135" w:themeColor="accent6" w:themeShade="BF"/>
        </w:rPr>
        <w:t xml:space="preserve">top 10 </w:t>
      </w:r>
      <w:r w:rsidRPr="00CC4C6B">
        <w:rPr>
          <w:color w:val="538135" w:themeColor="accent6" w:themeShade="BF"/>
        </w:rPr>
        <w:t>product USPs</w:t>
      </w:r>
    </w:p>
    <w:p w14:paraId="1FAA7B8A" w14:textId="1688C7B6" w:rsidR="00CC4C6B" w:rsidRDefault="00CC4C6B" w:rsidP="00CC4C6B"/>
    <w:p w14:paraId="18623D2E" w14:textId="2E148059" w:rsidR="00CC4C6B" w:rsidRPr="00CC4C6B" w:rsidRDefault="00CC4C6B" w:rsidP="00CC4C6B">
      <w:pPr>
        <w:rPr>
          <w:color w:val="538135" w:themeColor="accent6" w:themeShade="BF"/>
        </w:rPr>
      </w:pPr>
      <w:r w:rsidRPr="00CC4C6B">
        <w:rPr>
          <w:color w:val="538135" w:themeColor="accent6" w:themeShade="BF"/>
        </w:rPr>
        <w:t>___________________________________________________________________________</w:t>
      </w:r>
    </w:p>
    <w:p w14:paraId="592D647D" w14:textId="77777777" w:rsidR="00CC4C6B" w:rsidRPr="00CC4C6B" w:rsidRDefault="00CC4C6B" w:rsidP="00CC4C6B">
      <w:pPr>
        <w:jc w:val="center"/>
        <w:rPr>
          <w:rStyle w:val="SubtleEmphasis"/>
        </w:rPr>
      </w:pPr>
    </w:p>
    <w:p w14:paraId="3AF3F134" w14:textId="56272981" w:rsidR="00CC4C6B" w:rsidRPr="00CC4C6B" w:rsidRDefault="00CC4C6B" w:rsidP="00CC4C6B">
      <w:pPr>
        <w:jc w:val="center"/>
        <w:rPr>
          <w:rStyle w:val="SubtleEmphasis"/>
        </w:rPr>
      </w:pPr>
      <w:r w:rsidRPr="00CC4C6B">
        <w:rPr>
          <w:rStyle w:val="SubtleEmphasis"/>
        </w:rPr>
        <w:t xml:space="preserve">What differentiates ThinkAutomation from other platforms in the process automation space? To help you present ThinkAutomation to your clients, we’ve pulled out the product’s </w:t>
      </w:r>
      <w:r w:rsidR="00CF4CEA">
        <w:rPr>
          <w:rStyle w:val="SubtleEmphasis"/>
        </w:rPr>
        <w:t>top 10</w:t>
      </w:r>
      <w:r w:rsidRPr="00CC4C6B">
        <w:rPr>
          <w:rStyle w:val="SubtleEmphasis"/>
        </w:rPr>
        <w:t xml:space="preserve"> unique selling points.</w:t>
      </w:r>
    </w:p>
    <w:p w14:paraId="2062A98F" w14:textId="77777777" w:rsidR="00CC4C6B" w:rsidRDefault="00CC4C6B" w:rsidP="00CC4C6B"/>
    <w:p w14:paraId="040F878E" w14:textId="77777777" w:rsidR="00CC4C6B" w:rsidRPr="00CC4C6B" w:rsidRDefault="00CC4C6B" w:rsidP="00CC4C6B">
      <w:pPr>
        <w:rPr>
          <w:color w:val="538135" w:themeColor="accent6" w:themeShade="BF"/>
        </w:rPr>
      </w:pPr>
      <w:r w:rsidRPr="00CC4C6B">
        <w:rPr>
          <w:color w:val="538135" w:themeColor="accent6" w:themeShade="BF"/>
        </w:rPr>
        <w:t>___________________________________________________________________________</w:t>
      </w:r>
    </w:p>
    <w:p w14:paraId="21F11A16" w14:textId="77777777" w:rsidR="002A29B4" w:rsidRDefault="002A29B4" w:rsidP="002A29B4">
      <w:pPr>
        <w:pStyle w:val="Heading3"/>
        <w:rPr>
          <w:color w:val="538135" w:themeColor="accent6" w:themeShade="BF"/>
        </w:rPr>
      </w:pPr>
    </w:p>
    <w:p w14:paraId="5D504E5E" w14:textId="77777777" w:rsidR="002A29B4" w:rsidRDefault="002A29B4" w:rsidP="002A29B4">
      <w:pPr>
        <w:pStyle w:val="Heading3"/>
        <w:rPr>
          <w:color w:val="538135" w:themeColor="accent6" w:themeShade="BF"/>
        </w:rPr>
      </w:pPr>
    </w:p>
    <w:p w14:paraId="57430B54" w14:textId="02C32C7F" w:rsidR="0064174D" w:rsidRDefault="007A3970" w:rsidP="002A29B4">
      <w:pPr>
        <w:pStyle w:val="Heading3"/>
        <w:numPr>
          <w:ilvl w:val="0"/>
          <w:numId w:val="5"/>
        </w:numPr>
        <w:rPr>
          <w:color w:val="538135" w:themeColor="accent6" w:themeShade="BF"/>
        </w:rPr>
      </w:pPr>
      <w:r w:rsidRPr="00CC4C6B">
        <w:rPr>
          <w:color w:val="538135" w:themeColor="accent6" w:themeShade="BF"/>
        </w:rPr>
        <w:t>Open-ended</w:t>
      </w:r>
      <w:r w:rsidR="0064174D" w:rsidRPr="00CC4C6B">
        <w:rPr>
          <w:color w:val="538135" w:themeColor="accent6" w:themeShade="BF"/>
        </w:rPr>
        <w:t xml:space="preserve"> </w:t>
      </w:r>
      <w:r w:rsidRPr="00CC4C6B">
        <w:rPr>
          <w:color w:val="538135" w:themeColor="accent6" w:themeShade="BF"/>
        </w:rPr>
        <w:t>scale</w:t>
      </w:r>
    </w:p>
    <w:p w14:paraId="0731CCDD" w14:textId="77777777" w:rsidR="00CC4C6B" w:rsidRPr="00CC4C6B" w:rsidRDefault="00CC4C6B" w:rsidP="00CC4C6B"/>
    <w:p w14:paraId="42167CEB" w14:textId="200A1405" w:rsidR="0064174D" w:rsidRDefault="0064174D" w:rsidP="0064174D">
      <w:r w:rsidRPr="0064174D">
        <w:t xml:space="preserve">Rather than coming pre-loaded with set workflows, or powering a set selection of </w:t>
      </w:r>
      <w:r w:rsidR="002A29B4">
        <w:t>options</w:t>
      </w:r>
      <w:r w:rsidRPr="0064174D">
        <w:t xml:space="preserve">, ThinkAutomation </w:t>
      </w:r>
      <w:r w:rsidR="007A3970">
        <w:t>offers truly open-ended orchestration.</w:t>
      </w:r>
      <w:r w:rsidRPr="0064174D">
        <w:t xml:space="preserve"> You can build a</w:t>
      </w:r>
      <w:r w:rsidR="00CC4C6B">
        <w:t xml:space="preserve">ny </w:t>
      </w:r>
      <w:r w:rsidRPr="0064174D">
        <w:t>workflow,</w:t>
      </w:r>
      <w:r w:rsidR="00CC4C6B">
        <w:t xml:space="preserve"> connect into any program, and</w:t>
      </w:r>
      <w:r w:rsidRPr="0064174D">
        <w:t xml:space="preserve"> automate </w:t>
      </w:r>
      <w:r w:rsidR="00CC4C6B">
        <w:t>any sequence of actions</w:t>
      </w:r>
      <w:r w:rsidR="002A29B4">
        <w:t>,</w:t>
      </w:r>
      <w:r w:rsidR="00CC4C6B">
        <w:t xml:space="preserve"> across any process</w:t>
      </w:r>
      <w:r w:rsidRPr="0064174D">
        <w:t>.</w:t>
      </w:r>
      <w:r w:rsidR="007A3970">
        <w:t xml:space="preserve"> This includes </w:t>
      </w:r>
      <w:r w:rsidR="00CC4C6B">
        <w:t>designing</w:t>
      </w:r>
      <w:r w:rsidR="007A3970">
        <w:t xml:space="preserve"> your own</w:t>
      </w:r>
      <w:r w:rsidR="00CC4C6B">
        <w:t xml:space="preserve"> custom</w:t>
      </w:r>
      <w:r w:rsidR="007A3970">
        <w:t xml:space="preserve"> actions and integrations as needed</w:t>
      </w:r>
      <w:r w:rsidR="00012527">
        <w:t>.</w:t>
      </w:r>
    </w:p>
    <w:p w14:paraId="602714CC" w14:textId="5655C06E" w:rsidR="007A3970" w:rsidRDefault="007A3970" w:rsidP="0064174D"/>
    <w:p w14:paraId="32C43280" w14:textId="0115CBCB" w:rsidR="007A3970" w:rsidRPr="002A29B4" w:rsidRDefault="007A3970" w:rsidP="002A29B4">
      <w:pPr>
        <w:pStyle w:val="Heading3"/>
        <w:rPr>
          <w:color w:val="538135" w:themeColor="accent6" w:themeShade="BF"/>
        </w:rPr>
      </w:pPr>
      <w:r w:rsidRPr="002A29B4">
        <w:rPr>
          <w:color w:val="538135" w:themeColor="accent6" w:themeShade="BF"/>
        </w:rPr>
        <w:t xml:space="preserve">2. </w:t>
      </w:r>
      <w:r w:rsidR="00CC4C6B" w:rsidRPr="002A29B4">
        <w:rPr>
          <w:color w:val="538135" w:themeColor="accent6" w:themeShade="BF"/>
        </w:rPr>
        <w:t>One licence for everything</w:t>
      </w:r>
    </w:p>
    <w:p w14:paraId="0892353B" w14:textId="001A7069" w:rsidR="0064174D" w:rsidRDefault="00012527" w:rsidP="0064174D">
      <w:r>
        <w:pict w14:anchorId="6907F040">
          <v:rect id="_x0000_i1027" style="width:0;height:0" o:bullet="t" o:hrstd="t" o:hrnoshade="t" o:hr="t" fillcolor="#383838" stroked="f"/>
        </w:pict>
      </w:r>
      <w:r w:rsidR="0064174D" w:rsidRPr="0064174D">
        <w:t xml:space="preserve">Where other automation solutions impose caps on how much you can automate, ThinkAutomation removes boundaries. </w:t>
      </w:r>
      <w:r w:rsidR="00CC4C6B">
        <w:t>A single licence</w:t>
      </w:r>
      <w:r w:rsidR="0064174D" w:rsidRPr="0064174D">
        <w:t xml:space="preserve"> covers you for unlimited </w:t>
      </w:r>
      <w:r w:rsidR="00CC4C6B">
        <w:t>use</w:t>
      </w:r>
      <w:r w:rsidR="0064174D" w:rsidRPr="0064174D">
        <w:t xml:space="preserve">, </w:t>
      </w:r>
      <w:r w:rsidR="00CC4C6B">
        <w:t xml:space="preserve">unlimited processing, </w:t>
      </w:r>
      <w:r w:rsidR="0064174D" w:rsidRPr="0064174D">
        <w:t>and unlimited automat</w:t>
      </w:r>
      <w:r w:rsidR="00CC4C6B">
        <w:t>ions</w:t>
      </w:r>
      <w:r w:rsidR="0064174D" w:rsidRPr="0064174D">
        <w:t>.</w:t>
      </w:r>
      <w:r w:rsidR="00CC4C6B">
        <w:t xml:space="preserve"> Build and connect as much as you need.</w:t>
      </w:r>
    </w:p>
    <w:p w14:paraId="04A449F6" w14:textId="77777777" w:rsidR="00CC4C6B" w:rsidRPr="002A29B4" w:rsidRDefault="00CC4C6B" w:rsidP="002A29B4">
      <w:pPr>
        <w:pStyle w:val="Heading3"/>
        <w:rPr>
          <w:color w:val="538135" w:themeColor="accent6" w:themeShade="BF"/>
        </w:rPr>
      </w:pPr>
    </w:p>
    <w:p w14:paraId="46802071" w14:textId="4ACAA0FF" w:rsidR="00CC4C6B" w:rsidRDefault="002A29B4" w:rsidP="002A29B4">
      <w:pPr>
        <w:pStyle w:val="Heading3"/>
        <w:numPr>
          <w:ilvl w:val="0"/>
          <w:numId w:val="6"/>
        </w:numPr>
        <w:rPr>
          <w:color w:val="538135" w:themeColor="accent6" w:themeShade="BF"/>
        </w:rPr>
      </w:pPr>
      <w:r w:rsidRPr="002A29B4">
        <w:rPr>
          <w:color w:val="538135" w:themeColor="accent6" w:themeShade="BF"/>
        </w:rPr>
        <w:t xml:space="preserve">A fraction of the usual </w:t>
      </w:r>
      <w:r>
        <w:rPr>
          <w:color w:val="538135" w:themeColor="accent6" w:themeShade="BF"/>
        </w:rPr>
        <w:t xml:space="preserve">automation </w:t>
      </w:r>
      <w:r w:rsidRPr="002A29B4">
        <w:rPr>
          <w:color w:val="538135" w:themeColor="accent6" w:themeShade="BF"/>
        </w:rPr>
        <w:t>cost</w:t>
      </w:r>
    </w:p>
    <w:p w14:paraId="266BC544" w14:textId="77777777" w:rsidR="002A29B4" w:rsidRPr="002A29B4" w:rsidRDefault="002A29B4" w:rsidP="002A29B4">
      <w:pPr>
        <w:pStyle w:val="ListParagraph"/>
        <w:ind w:left="360"/>
      </w:pPr>
    </w:p>
    <w:p w14:paraId="65DAE46F" w14:textId="3B68D5D9" w:rsidR="00CC4C6B" w:rsidRPr="00F378A8" w:rsidRDefault="002A29B4" w:rsidP="00F378A8">
      <w:pPr>
        <w:pStyle w:val="ListParagraph"/>
        <w:ind w:left="0"/>
      </w:pPr>
      <w:r>
        <w:t>The standard edition of ThinkAutomation costs £999 per year. The professional edition (which includes a built-in IDE for developers), costs £1</w:t>
      </w:r>
      <w:r w:rsidR="007B4243">
        <w:t>9</w:t>
      </w:r>
      <w:r>
        <w:t>99 per year. Now compare these costs to the standard RPA model, in which a single licence costs £10,000 – and you’ll need m</w:t>
      </w:r>
      <w:r w:rsidR="00F378A8">
        <w:t>any</w:t>
      </w:r>
      <w:r>
        <w:t xml:space="preserve"> licence</w:t>
      </w:r>
      <w:r w:rsidR="00F378A8">
        <w:t>s</w:t>
      </w:r>
      <w:r>
        <w:t xml:space="preserve"> to automate at scale.</w:t>
      </w:r>
      <w:r w:rsidR="00F378A8">
        <w:t xml:space="preserve"> The average cost of an RPA implementation is estimated at</w:t>
      </w:r>
      <w:r w:rsidR="00F378A8">
        <w:rPr>
          <w:rFonts w:ascii="Arial" w:hAnsi="Arial" w:cs="Arial"/>
          <w:color w:val="383838"/>
          <w:shd w:val="clear" w:color="auto" w:fill="FFFFFF"/>
        </w:rPr>
        <w:t xml:space="preserve"> </w:t>
      </w:r>
      <w:r w:rsidR="00F378A8" w:rsidRPr="00F378A8">
        <w:t>£206,180.</w:t>
      </w:r>
    </w:p>
    <w:p w14:paraId="740D16BF" w14:textId="77777777" w:rsidR="00CC4C6B" w:rsidRPr="0064174D" w:rsidRDefault="00CC4C6B" w:rsidP="0064174D"/>
    <w:p w14:paraId="6C10DA85" w14:textId="77777777" w:rsidR="0064174D" w:rsidRPr="007B4243" w:rsidRDefault="00012527" w:rsidP="007B4243">
      <w:pPr>
        <w:pStyle w:val="Heading3"/>
        <w:rPr>
          <w:color w:val="538135" w:themeColor="accent6" w:themeShade="BF"/>
        </w:rPr>
      </w:pPr>
      <w:r>
        <w:rPr>
          <w:color w:val="538135" w:themeColor="accent6" w:themeShade="BF"/>
        </w:rPr>
        <w:pict w14:anchorId="7098BF0F">
          <v:rect id="_x0000_i1028" style="width:0;height:0" o:hrstd="t" o:hrnoshade="t" o:hr="t" fillcolor="#383838" stroked="f"/>
        </w:pict>
      </w:r>
    </w:p>
    <w:p w14:paraId="5D9C0219" w14:textId="7D7144D7" w:rsidR="0064174D" w:rsidRDefault="0064174D" w:rsidP="006D4EFB">
      <w:pPr>
        <w:pStyle w:val="Heading3"/>
        <w:numPr>
          <w:ilvl w:val="0"/>
          <w:numId w:val="6"/>
        </w:numPr>
        <w:rPr>
          <w:color w:val="538135" w:themeColor="accent6" w:themeShade="BF"/>
        </w:rPr>
      </w:pPr>
      <w:r w:rsidRPr="007B4243">
        <w:rPr>
          <w:color w:val="538135" w:themeColor="accent6" w:themeShade="BF"/>
        </w:rPr>
        <w:t>Enormous processing power</w:t>
      </w:r>
    </w:p>
    <w:p w14:paraId="5816CADC" w14:textId="77777777" w:rsidR="006D4EFB" w:rsidRPr="006D4EFB" w:rsidRDefault="006D4EFB" w:rsidP="006D4EFB">
      <w:pPr>
        <w:pStyle w:val="ListParagraph"/>
        <w:ind w:left="360"/>
      </w:pPr>
    </w:p>
    <w:p w14:paraId="45095492" w14:textId="4C0ABFA8" w:rsidR="0064174D" w:rsidRPr="0064174D" w:rsidRDefault="0064174D" w:rsidP="0064174D">
      <w:r w:rsidRPr="0064174D">
        <w:lastRenderedPageBreak/>
        <w:t>ThinkAutomation can process hundreds, thousands, or even millions of messages a day. A standard deployment offers bottomless message processing – a uniquely industrious offering. Plus, extra clients and servers can handle even the heaviest processing needs.</w:t>
      </w:r>
      <w:r w:rsidR="003B7980">
        <w:t xml:space="preserve"> </w:t>
      </w:r>
    </w:p>
    <w:p w14:paraId="11FE3690" w14:textId="77777777" w:rsidR="0064174D" w:rsidRPr="0064174D" w:rsidRDefault="00012527" w:rsidP="0064174D">
      <w:r>
        <w:pict w14:anchorId="2EE68D4C">
          <v:rect id="_x0000_i1029" style="width:0;height:0" o:hrstd="t" o:hrnoshade="t" o:hr="t" fillcolor="#383838" stroked="f"/>
        </w:pict>
      </w:r>
    </w:p>
    <w:p w14:paraId="607FFDC3" w14:textId="2D0AFD0F" w:rsidR="0064174D" w:rsidRDefault="0064174D" w:rsidP="006D4EFB">
      <w:pPr>
        <w:pStyle w:val="Heading3"/>
        <w:numPr>
          <w:ilvl w:val="0"/>
          <w:numId w:val="6"/>
        </w:numPr>
        <w:rPr>
          <w:color w:val="538135" w:themeColor="accent6" w:themeShade="BF"/>
        </w:rPr>
      </w:pPr>
      <w:r w:rsidRPr="006D4EFB">
        <w:rPr>
          <w:color w:val="538135" w:themeColor="accent6" w:themeShade="BF"/>
        </w:rPr>
        <w:t>Rapid processing speeds</w:t>
      </w:r>
    </w:p>
    <w:p w14:paraId="5EFD0DE5" w14:textId="77777777" w:rsidR="006D4EFB" w:rsidRPr="006D4EFB" w:rsidRDefault="006D4EFB" w:rsidP="006D4EFB">
      <w:pPr>
        <w:pStyle w:val="ListParagraph"/>
        <w:ind w:left="360"/>
      </w:pPr>
    </w:p>
    <w:p w14:paraId="29371EAC" w14:textId="77777777" w:rsidR="0064174D" w:rsidRPr="0064174D" w:rsidRDefault="0064174D" w:rsidP="0064174D">
      <w:r w:rsidRPr="0064174D">
        <w:t>Not only can ThinkAutomation handle vast data volumes, it can do so without the usual lag. The software checks for new messages every 30 seconds, and can then process these messages in a split second. So, workflows run rapidly and round the clock.</w:t>
      </w:r>
    </w:p>
    <w:p w14:paraId="42A0777D" w14:textId="77777777" w:rsidR="0064174D" w:rsidRPr="0064174D" w:rsidRDefault="00012527" w:rsidP="0064174D">
      <w:r>
        <w:pict w14:anchorId="5DC77759">
          <v:rect id="_x0000_i1030" style="width:0;height:0" o:hrstd="t" o:hrnoshade="t" o:hr="t" fillcolor="#383838" stroked="f"/>
        </w:pict>
      </w:r>
    </w:p>
    <w:p w14:paraId="2114C96F" w14:textId="5864809D" w:rsidR="0064174D" w:rsidRPr="006D4EFB" w:rsidRDefault="007B4243" w:rsidP="006D4EFB">
      <w:pPr>
        <w:pStyle w:val="Heading3"/>
        <w:rPr>
          <w:color w:val="538135" w:themeColor="accent6" w:themeShade="BF"/>
        </w:rPr>
      </w:pPr>
      <w:r w:rsidRPr="006D4EFB">
        <w:rPr>
          <w:color w:val="538135" w:themeColor="accent6" w:themeShade="BF"/>
        </w:rPr>
        <w:t>6</w:t>
      </w:r>
      <w:r w:rsidR="0064174D" w:rsidRPr="006D4EFB">
        <w:rPr>
          <w:color w:val="538135" w:themeColor="accent6" w:themeShade="BF"/>
        </w:rPr>
        <w:t>.   </w:t>
      </w:r>
      <w:r w:rsidR="00A70472" w:rsidRPr="006D4EFB">
        <w:rPr>
          <w:color w:val="538135" w:themeColor="accent6" w:themeShade="BF"/>
        </w:rPr>
        <w:t>On-premises deployment with</w:t>
      </w:r>
      <w:r w:rsidR="0064174D" w:rsidRPr="006D4EFB">
        <w:rPr>
          <w:color w:val="538135" w:themeColor="accent6" w:themeShade="BF"/>
        </w:rPr>
        <w:t> </w:t>
      </w:r>
      <w:r w:rsidR="00010B85" w:rsidRPr="006D4EFB">
        <w:rPr>
          <w:color w:val="538135" w:themeColor="accent6" w:themeShade="BF"/>
        </w:rPr>
        <w:t>c</w:t>
      </w:r>
      <w:r w:rsidR="0064174D" w:rsidRPr="006D4EFB">
        <w:rPr>
          <w:color w:val="538135" w:themeColor="accent6" w:themeShade="BF"/>
        </w:rPr>
        <w:t>ontrol at the core</w:t>
      </w:r>
    </w:p>
    <w:p w14:paraId="7A46BDED" w14:textId="77777777" w:rsidR="006D4EFB" w:rsidRDefault="006D4EFB" w:rsidP="0064174D"/>
    <w:p w14:paraId="358064B1" w14:textId="403CDCEE" w:rsidR="0064174D" w:rsidRPr="0064174D" w:rsidRDefault="0064174D" w:rsidP="0064174D">
      <w:r w:rsidRPr="0064174D">
        <w:t>ThinkAutomation offers full installation control</w:t>
      </w:r>
      <w:r w:rsidR="00EC6604">
        <w:t xml:space="preserve"> as standard</w:t>
      </w:r>
      <w:r w:rsidRPr="0064174D">
        <w:t>. The solution is </w:t>
      </w:r>
      <w:r>
        <w:t>on-premises</w:t>
      </w:r>
      <w:r w:rsidRPr="0064174D">
        <w:t xml:space="preserve">, offering </w:t>
      </w:r>
      <w:r w:rsidR="00EC6604">
        <w:t xml:space="preserve">total </w:t>
      </w:r>
      <w:r w:rsidRPr="0064174D">
        <w:t>end user ownership. It runs on private company servers, behind private company firewalls, or even behind a private company DMZ.</w:t>
      </w:r>
      <w:r w:rsidR="003B7980">
        <w:t xml:space="preserve"> So, you can enjoy full</w:t>
      </w:r>
      <w:r w:rsidR="00AF61C4">
        <w:t xml:space="preserve"> stack automation –</w:t>
      </w:r>
      <w:r w:rsidR="00D00E1F">
        <w:t xml:space="preserve"> across any</w:t>
      </w:r>
      <w:r w:rsidR="00AF61C4">
        <w:t xml:space="preserve"> local </w:t>
      </w:r>
      <w:r w:rsidR="00D00E1F">
        <w:t>or</w:t>
      </w:r>
      <w:r w:rsidR="00AF61C4">
        <w:t xml:space="preserve"> cloud service –</w:t>
      </w:r>
      <w:r w:rsidR="003B7980">
        <w:t xml:space="preserve"> with the security and cost-savings of </w:t>
      </w:r>
      <w:r w:rsidR="00AF61C4">
        <w:t>on-prem</w:t>
      </w:r>
      <w:r w:rsidR="003B7980" w:rsidRPr="003B7980">
        <w:t xml:space="preserve"> processing</w:t>
      </w:r>
      <w:r w:rsidR="003B7980">
        <w:t>.</w:t>
      </w:r>
    </w:p>
    <w:p w14:paraId="19A3AB13" w14:textId="77777777" w:rsidR="0064174D" w:rsidRPr="0064174D" w:rsidRDefault="00012527" w:rsidP="0064174D">
      <w:r>
        <w:pict w14:anchorId="483A69E6">
          <v:rect id="_x0000_i1031" style="width:0;height:0" o:hrstd="t" o:hrnoshade="t" o:hr="t" fillcolor="#383838" stroked="f"/>
        </w:pict>
      </w:r>
    </w:p>
    <w:p w14:paraId="36E6CA66" w14:textId="363D753C" w:rsidR="0064174D" w:rsidRPr="007D0425" w:rsidRDefault="00A70472" w:rsidP="0064174D">
      <w:pPr>
        <w:rPr>
          <w:color w:val="538135" w:themeColor="accent6" w:themeShade="BF"/>
        </w:rPr>
      </w:pPr>
      <w:r w:rsidRPr="007D0425">
        <w:rPr>
          <w:color w:val="538135" w:themeColor="accent6" w:themeShade="BF"/>
        </w:rPr>
        <w:t>7</w:t>
      </w:r>
      <w:r w:rsidR="0064174D" w:rsidRPr="007D0425">
        <w:rPr>
          <w:color w:val="538135" w:themeColor="accent6" w:themeShade="BF"/>
        </w:rPr>
        <w:t>.     </w:t>
      </w:r>
      <w:r w:rsidR="00465CA2">
        <w:rPr>
          <w:color w:val="538135" w:themeColor="accent6" w:themeShade="BF"/>
        </w:rPr>
        <w:t>Full tech stack automation from one machine</w:t>
      </w:r>
    </w:p>
    <w:p w14:paraId="4EEF845E" w14:textId="77777777" w:rsidR="0064174D" w:rsidRPr="0064174D" w:rsidRDefault="0064174D" w:rsidP="0064174D">
      <w:r w:rsidRPr="0064174D">
        <w:t>ThinkAutomation is near-invisible in terms of the resource it consumes. It doesn’t need to sit on multiple machines to work. Rather, it only requires a network-connected workstation. From a single machine, then, you can automate processes across the entire company.</w:t>
      </w:r>
    </w:p>
    <w:p w14:paraId="55B5F7C4" w14:textId="77777777" w:rsidR="0064174D" w:rsidRPr="0064174D" w:rsidRDefault="00012527" w:rsidP="0064174D">
      <w:r>
        <w:pict w14:anchorId="03FD6ADC">
          <v:rect id="_x0000_i1032" style="width:0;height:0" o:hrstd="t" o:hrnoshade="t" o:hr="t" fillcolor="#383838" stroked="f"/>
        </w:pict>
      </w:r>
    </w:p>
    <w:p w14:paraId="40EF1071" w14:textId="390AE15D" w:rsidR="0064174D" w:rsidRPr="007D0425" w:rsidRDefault="00A70472" w:rsidP="0064174D">
      <w:pPr>
        <w:rPr>
          <w:color w:val="538135" w:themeColor="accent6" w:themeShade="BF"/>
        </w:rPr>
      </w:pPr>
      <w:r w:rsidRPr="007D0425">
        <w:rPr>
          <w:color w:val="538135" w:themeColor="accent6" w:themeShade="BF"/>
        </w:rPr>
        <w:t>8</w:t>
      </w:r>
      <w:r w:rsidR="0064174D" w:rsidRPr="007D0425">
        <w:rPr>
          <w:color w:val="538135" w:themeColor="accent6" w:themeShade="BF"/>
        </w:rPr>
        <w:t>.     Historical syncing power</w:t>
      </w:r>
    </w:p>
    <w:p w14:paraId="2E568AA8" w14:textId="77777777" w:rsidR="0064174D" w:rsidRPr="0064174D" w:rsidRDefault="0064174D" w:rsidP="0064174D">
      <w:r w:rsidRPr="0064174D">
        <w:t>Most automation solutions will only work on data from the point of installation. Not so with ThinkAutomation. With a full licence, the solution can process years of historical or legacy data, for maximum resource alleviation.</w:t>
      </w:r>
    </w:p>
    <w:p w14:paraId="49120D12" w14:textId="77777777" w:rsidR="0064174D" w:rsidRPr="0064174D" w:rsidRDefault="00012527" w:rsidP="0064174D">
      <w:r>
        <w:pict w14:anchorId="2BF92648">
          <v:rect id="_x0000_i1033" style="width:0;height:0" o:hrstd="t" o:hrnoshade="t" o:hr="t" fillcolor="#383838" stroked="f"/>
        </w:pict>
      </w:r>
    </w:p>
    <w:p w14:paraId="548C54AA" w14:textId="1C7D6F66" w:rsidR="0064174D" w:rsidRPr="007D0425" w:rsidRDefault="00A70472" w:rsidP="0064174D">
      <w:pPr>
        <w:rPr>
          <w:color w:val="538135" w:themeColor="accent6" w:themeShade="BF"/>
        </w:rPr>
      </w:pPr>
      <w:r w:rsidRPr="007D0425">
        <w:rPr>
          <w:color w:val="538135" w:themeColor="accent6" w:themeShade="BF"/>
        </w:rPr>
        <w:t>9</w:t>
      </w:r>
      <w:r w:rsidR="0064174D" w:rsidRPr="007D0425">
        <w:rPr>
          <w:color w:val="538135" w:themeColor="accent6" w:themeShade="BF"/>
        </w:rPr>
        <w:t>.     Continuous reliability</w:t>
      </w:r>
    </w:p>
    <w:p w14:paraId="2698D188" w14:textId="314A9CE4" w:rsidR="0064174D" w:rsidRPr="0064174D" w:rsidRDefault="0064174D" w:rsidP="0064174D">
      <w:r w:rsidRPr="0064174D">
        <w:t>ThinkAutomation is rock-solid once set-up. As long as the machine it sits on has power, it will</w:t>
      </w:r>
      <w:r>
        <w:t xml:space="preserve"> never stop working</w:t>
      </w:r>
      <w:r w:rsidRPr="0064174D">
        <w:t>. And, since you have control once downloaded, there is no risk of an unexpected feature shutdown or functionality loss.</w:t>
      </w:r>
    </w:p>
    <w:p w14:paraId="4FAB04BB" w14:textId="77777777" w:rsidR="0064174D" w:rsidRPr="0064174D" w:rsidRDefault="00012527" w:rsidP="0064174D">
      <w:r>
        <w:pict w14:anchorId="103E6004">
          <v:rect id="_x0000_i1034" style="width:0;height:0" o:hrstd="t" o:hrnoshade="t" o:hr="t" fillcolor="#383838" stroked="f"/>
        </w:pict>
      </w:r>
    </w:p>
    <w:p w14:paraId="6EE147DB" w14:textId="5D4F3893" w:rsidR="0064174D" w:rsidRDefault="00A70472" w:rsidP="002E3DBE">
      <w:pPr>
        <w:pStyle w:val="Heading3"/>
        <w:rPr>
          <w:color w:val="538135" w:themeColor="accent6" w:themeShade="BF"/>
        </w:rPr>
      </w:pPr>
      <w:r w:rsidRPr="002E3DBE">
        <w:rPr>
          <w:color w:val="538135" w:themeColor="accent6" w:themeShade="BF"/>
        </w:rPr>
        <w:t>10</w:t>
      </w:r>
      <w:r w:rsidR="0064174D" w:rsidRPr="002E3DBE">
        <w:rPr>
          <w:color w:val="538135" w:themeColor="accent6" w:themeShade="BF"/>
        </w:rPr>
        <w:t>.     Instant access to benefits</w:t>
      </w:r>
    </w:p>
    <w:p w14:paraId="433A39B1" w14:textId="77777777" w:rsidR="00956E65" w:rsidRPr="00956E65" w:rsidRDefault="00956E65" w:rsidP="00956E65"/>
    <w:p w14:paraId="27337ADF" w14:textId="759B9DBE" w:rsidR="00A07FB4" w:rsidRPr="0064174D" w:rsidRDefault="0064174D" w:rsidP="0064174D">
      <w:r w:rsidRPr="0064174D">
        <w:t>Unlike </w:t>
      </w:r>
      <w:r>
        <w:t>RPA automation solutions</w:t>
      </w:r>
      <w:r w:rsidRPr="0064174D">
        <w:t>, ThinkAutomation does not work via trained bots. It does not need to ‘watch’ users to learn over a course of several months. Instead, you can immediately configure your logical processing rules and start enjoying automated efficiency.</w:t>
      </w:r>
    </w:p>
    <w:sectPr w:rsidR="00A07FB4" w:rsidRPr="00641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82" style="width:0;height:0" o:bullet="t" o:hrstd="t" o:hrnoshade="t" o:hr="t" fillcolor="#383838" stroked="f"/>
    </w:pict>
  </w:numPicBullet>
  <w:numPicBullet w:numPicBulletId="1">
    <w:pict>
      <v:rect id="_x0000_i1083" style="width:0;height:0" o:bullet="t" o:hrstd="t" o:hrnoshade="t" o:hr="t" fillcolor="#383838" stroked="f"/>
    </w:pict>
  </w:numPicBullet>
  <w:abstractNum w:abstractNumId="0" w15:restartNumberingAfterBreak="0">
    <w:nsid w:val="148E4049"/>
    <w:multiLevelType w:val="hybridMultilevel"/>
    <w:tmpl w:val="81FAC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22C39"/>
    <w:multiLevelType w:val="hybridMultilevel"/>
    <w:tmpl w:val="68E6A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411C0"/>
    <w:multiLevelType w:val="hybridMultilevel"/>
    <w:tmpl w:val="EB0E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E436B"/>
    <w:multiLevelType w:val="hybridMultilevel"/>
    <w:tmpl w:val="2564D32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7A5B90"/>
    <w:multiLevelType w:val="hybridMultilevel"/>
    <w:tmpl w:val="176006E6"/>
    <w:lvl w:ilvl="0" w:tplc="0142B0A4">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530955"/>
    <w:multiLevelType w:val="hybridMultilevel"/>
    <w:tmpl w:val="C1E05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4D"/>
    <w:rsid w:val="00010B85"/>
    <w:rsid w:val="00012527"/>
    <w:rsid w:val="002A29B4"/>
    <w:rsid w:val="002E3DBE"/>
    <w:rsid w:val="003B7980"/>
    <w:rsid w:val="00465CA2"/>
    <w:rsid w:val="0064174D"/>
    <w:rsid w:val="006D4EFB"/>
    <w:rsid w:val="007A3970"/>
    <w:rsid w:val="007B4243"/>
    <w:rsid w:val="007D0425"/>
    <w:rsid w:val="00900E1A"/>
    <w:rsid w:val="00956E65"/>
    <w:rsid w:val="00A07FB4"/>
    <w:rsid w:val="00A70472"/>
    <w:rsid w:val="00AF61C4"/>
    <w:rsid w:val="00CA4DB8"/>
    <w:rsid w:val="00CC4C6B"/>
    <w:rsid w:val="00CF4CEA"/>
    <w:rsid w:val="00D00E1F"/>
    <w:rsid w:val="00D512B7"/>
    <w:rsid w:val="00E14755"/>
    <w:rsid w:val="00EC6604"/>
    <w:rsid w:val="00F3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7628"/>
  <w15:chartTrackingRefBased/>
  <w15:docId w15:val="{15493056-C0FA-41BA-8E76-18B4D7A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6B"/>
  </w:style>
  <w:style w:type="paragraph" w:styleId="Heading1">
    <w:name w:val="heading 1"/>
    <w:basedOn w:val="Normal"/>
    <w:next w:val="Normal"/>
    <w:link w:val="Heading1Char"/>
    <w:uiPriority w:val="9"/>
    <w:qFormat/>
    <w:rsid w:val="00CC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4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C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64174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174D"/>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64174D"/>
    <w:rPr>
      <w:b/>
      <w:bCs/>
    </w:rPr>
  </w:style>
  <w:style w:type="paragraph" w:styleId="NormalWeb">
    <w:name w:val="Normal (Web)"/>
    <w:basedOn w:val="Normal"/>
    <w:uiPriority w:val="99"/>
    <w:semiHidden/>
    <w:unhideWhenUsed/>
    <w:rsid w:val="00641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174D"/>
    <w:rPr>
      <w:color w:val="0000FF"/>
      <w:u w:val="single"/>
    </w:rPr>
  </w:style>
  <w:style w:type="paragraph" w:styleId="Title">
    <w:name w:val="Title"/>
    <w:basedOn w:val="Normal"/>
    <w:next w:val="Normal"/>
    <w:link w:val="TitleChar"/>
    <w:uiPriority w:val="10"/>
    <w:qFormat/>
    <w:rsid w:val="00CC4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4C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4C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C6B"/>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CC4C6B"/>
    <w:rPr>
      <w:i/>
      <w:iCs/>
      <w:color w:val="404040" w:themeColor="text1" w:themeTint="BF"/>
    </w:rPr>
  </w:style>
  <w:style w:type="paragraph" w:styleId="ListParagraph">
    <w:name w:val="List Paragraph"/>
    <w:basedOn w:val="Normal"/>
    <w:uiPriority w:val="34"/>
    <w:qFormat/>
    <w:rsid w:val="002A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Abercrombie</dc:creator>
  <cp:keywords/>
  <dc:description/>
  <cp:lastModifiedBy>Roxanne Abercrombie</cp:lastModifiedBy>
  <cp:revision>19</cp:revision>
  <dcterms:created xsi:type="dcterms:W3CDTF">2021-04-08T16:07:00Z</dcterms:created>
  <dcterms:modified xsi:type="dcterms:W3CDTF">2021-04-08T16:24:00Z</dcterms:modified>
</cp:coreProperties>
</file>